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Carry-forward and encashment policy</w:t>
      </w:r>
    </w:p>
    <w:p>
      <w:r>
        <w:rPr>
          <w:i/>
        </w:rPr>
        <w:t>Rules for unused leave at year end and on exit.</w:t>
      </w:r>
    </w:p>
    <w:p>
      <w:r>
        <w:t>LEAVE CARRY-FORWARD AND ENCASHMENT - [Company name]</w:t>
      </w:r>
    </w:p>
    <w:p/>
    <w:p>
      <w:r>
        <w:t>1. Carry forward: Up to [number] days of earned leave carry into the next year. Casual and sick leave lapse at year end unless stated.</w:t>
      </w:r>
    </w:p>
    <w:p>
      <w:r>
        <w:t>2. Maximum balance: The earned leave balance cannot exceed [number] days.</w:t>
      </w:r>
    </w:p>
    <w:p>
      <w:r>
        <w:t>3. Encashment during service: [Allowed once a year for up to [number] days / not allowed].</w:t>
      </w:r>
    </w:p>
    <w:p>
      <w:r>
        <w:t>4. Encashment on exit: Unused earned leave up to [number] days is paid with the final settlement, at [basic / basic plus DA] per day.</w:t>
      </w:r>
    </w:p>
    <w:p>
      <w:r>
        <w:t>5. Calculation: Monthly pay divided by [26 / 30 / number of days in the month].</w:t>
      </w:r>
    </w:p>
    <w:p>
      <w:r>
        <w:t>6. Tax: Tax treatment follows the law in force. Payments are shown on the payslip.</w:t>
      </w:r>
    </w:p>
    <w:p>
      <w:r>
        <w:t>7. Disputes: Raise with HR within [number] days of the settlement.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